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20429" w14:textId="0D3676A2" w:rsidR="008E04FC" w:rsidRPr="00F34767" w:rsidRDefault="008E04FC" w:rsidP="00F34767">
      <w:pPr>
        <w:spacing w:line="360" w:lineRule="auto"/>
        <w:rPr>
          <w:rFonts w:ascii="Garamond" w:hAnsi="Garamond" w:cs="Times New Roman"/>
        </w:rPr>
      </w:pPr>
      <w:r w:rsidRPr="00F34767">
        <w:rPr>
          <w:rFonts w:ascii="Garamond" w:hAnsi="Garamond" w:cs="Times New Roman"/>
        </w:rPr>
        <w:t>[Your name here]</w:t>
      </w:r>
    </w:p>
    <w:p w14:paraId="5C5B877B" w14:textId="6BF6D635" w:rsidR="00581901" w:rsidRPr="00F34767" w:rsidRDefault="00581901" w:rsidP="00F34767">
      <w:pPr>
        <w:spacing w:line="360" w:lineRule="auto"/>
        <w:jc w:val="center"/>
        <w:rPr>
          <w:rFonts w:ascii="Garamond" w:hAnsi="Garamond" w:cs="Times New Roman"/>
        </w:rPr>
      </w:pPr>
      <w:r w:rsidRPr="00F34767">
        <w:rPr>
          <w:rFonts w:ascii="Garamond" w:hAnsi="Garamond" w:cs="Times New Roman"/>
        </w:rPr>
        <w:t>Opening the Discussion example: Virginia Woolf</w:t>
      </w:r>
    </w:p>
    <w:p w14:paraId="3E695360" w14:textId="77777777" w:rsidR="00581901" w:rsidRPr="00F34767" w:rsidRDefault="00581901" w:rsidP="00F34767">
      <w:pPr>
        <w:pStyle w:val="ListParagraph"/>
        <w:numPr>
          <w:ilvl w:val="0"/>
          <w:numId w:val="2"/>
        </w:numPr>
        <w:spacing w:line="360" w:lineRule="auto"/>
        <w:rPr>
          <w:rFonts w:ascii="Garamond" w:hAnsi="Garamond" w:cs="Times New Roman"/>
        </w:rPr>
      </w:pPr>
      <w:r w:rsidRPr="00F34767">
        <w:rPr>
          <w:rFonts w:ascii="Garamond" w:eastAsia="Times New Roman" w:hAnsi="Garamond" w:cs="Times New Roman"/>
        </w:rPr>
        <w:t xml:space="preserve">Woolf, Virginia. “The Death of the Moth.” </w:t>
      </w:r>
      <w:r w:rsidRPr="00F34767">
        <w:rPr>
          <w:rFonts w:ascii="Garamond" w:eastAsia="Times New Roman" w:hAnsi="Garamond" w:cs="Times New Roman"/>
          <w:i/>
          <w:iCs/>
        </w:rPr>
        <w:t>Death</w:t>
      </w:r>
      <w:r w:rsidRPr="00F34767">
        <w:rPr>
          <w:rFonts w:ascii="Garamond" w:eastAsia="Times New Roman" w:hAnsi="Garamond" w:cs="Times New Roman"/>
        </w:rPr>
        <w:t xml:space="preserve">. Ed. Rachelle M. Smith. Fountainhead, </w:t>
      </w:r>
    </w:p>
    <w:p w14:paraId="69B04D9C" w14:textId="77777777" w:rsidR="00581901" w:rsidRPr="00F34767" w:rsidRDefault="00581901" w:rsidP="00F34767">
      <w:pPr>
        <w:pStyle w:val="ListParagraph"/>
        <w:spacing w:line="360" w:lineRule="auto"/>
        <w:ind w:firstLine="720"/>
        <w:rPr>
          <w:rFonts w:ascii="Garamond" w:eastAsia="Times New Roman" w:hAnsi="Garamond" w:cs="Times New Roman"/>
        </w:rPr>
      </w:pPr>
      <w:r w:rsidRPr="00F34767">
        <w:rPr>
          <w:rFonts w:ascii="Garamond" w:eastAsia="Times New Roman" w:hAnsi="Garamond" w:cs="Times New Roman"/>
        </w:rPr>
        <w:t>2012, pp. 79-81.</w:t>
      </w:r>
    </w:p>
    <w:p w14:paraId="2B9E3B4E" w14:textId="77777777" w:rsidR="00581901" w:rsidRPr="00F34767" w:rsidRDefault="00581901" w:rsidP="00F34767">
      <w:pPr>
        <w:pStyle w:val="ListParagraph"/>
        <w:numPr>
          <w:ilvl w:val="0"/>
          <w:numId w:val="2"/>
        </w:numPr>
        <w:spacing w:line="360" w:lineRule="auto"/>
        <w:rPr>
          <w:rFonts w:ascii="Garamond" w:hAnsi="Garamond" w:cs="Times New Roman"/>
        </w:rPr>
      </w:pPr>
      <w:r w:rsidRPr="00F34767">
        <w:rPr>
          <w:rFonts w:ascii="Garamond" w:hAnsi="Garamond" w:cs="Times New Roman"/>
        </w:rPr>
        <w:t>Virginia Woolf</w:t>
      </w:r>
    </w:p>
    <w:p w14:paraId="7055ECCF" w14:textId="77777777" w:rsidR="00581901" w:rsidRPr="00F34767" w:rsidRDefault="00581901" w:rsidP="00F34767">
      <w:pPr>
        <w:pStyle w:val="ListParagraph"/>
        <w:numPr>
          <w:ilvl w:val="0"/>
          <w:numId w:val="3"/>
        </w:numPr>
        <w:spacing w:line="360" w:lineRule="auto"/>
        <w:rPr>
          <w:rFonts w:ascii="Garamond" w:hAnsi="Garamond" w:cs="Times New Roman"/>
        </w:rPr>
      </w:pPr>
      <w:r w:rsidRPr="00F34767">
        <w:rPr>
          <w:rFonts w:ascii="Garamond" w:hAnsi="Garamond" w:cs="Times New Roman"/>
        </w:rPr>
        <w:t>Born in England in 1882</w:t>
      </w:r>
    </w:p>
    <w:p w14:paraId="2B6ABA5C" w14:textId="77777777" w:rsidR="00581901" w:rsidRPr="00F34767" w:rsidRDefault="00581901" w:rsidP="00F34767">
      <w:pPr>
        <w:pStyle w:val="ListParagraph"/>
        <w:numPr>
          <w:ilvl w:val="0"/>
          <w:numId w:val="3"/>
        </w:numPr>
        <w:spacing w:line="360" w:lineRule="auto"/>
        <w:rPr>
          <w:rFonts w:ascii="Garamond" w:hAnsi="Garamond" w:cs="Times New Roman"/>
        </w:rPr>
      </w:pPr>
      <w:r w:rsidRPr="00F34767">
        <w:rPr>
          <w:rFonts w:ascii="Garamond" w:hAnsi="Garamond" w:cs="Times New Roman"/>
        </w:rPr>
        <w:t>British author known for her feminist criticism and as a leading modernist writer</w:t>
      </w:r>
    </w:p>
    <w:p w14:paraId="387C2A52" w14:textId="77777777" w:rsidR="00581901" w:rsidRPr="00F34767" w:rsidRDefault="00581901" w:rsidP="00F34767">
      <w:pPr>
        <w:pStyle w:val="ListParagraph"/>
        <w:numPr>
          <w:ilvl w:val="1"/>
          <w:numId w:val="3"/>
        </w:numPr>
        <w:spacing w:line="360" w:lineRule="auto"/>
        <w:rPr>
          <w:rFonts w:ascii="Garamond" w:hAnsi="Garamond" w:cs="Times New Roman"/>
        </w:rPr>
      </w:pPr>
      <w:r w:rsidRPr="00F34767">
        <w:rPr>
          <w:rFonts w:ascii="Garamond" w:hAnsi="Garamond" w:cs="Times New Roman"/>
        </w:rPr>
        <w:t>Feminist criticism critiques literature through a feminist lens rather than critiquing feminism itself</w:t>
      </w:r>
    </w:p>
    <w:p w14:paraId="0E706FE6" w14:textId="77777777" w:rsidR="00581901" w:rsidRPr="00F34767" w:rsidRDefault="00581901" w:rsidP="00F34767">
      <w:pPr>
        <w:pStyle w:val="ListParagraph"/>
        <w:numPr>
          <w:ilvl w:val="1"/>
          <w:numId w:val="3"/>
        </w:numPr>
        <w:spacing w:line="360" w:lineRule="auto"/>
        <w:rPr>
          <w:rFonts w:ascii="Garamond" w:hAnsi="Garamond" w:cs="Times New Roman"/>
        </w:rPr>
      </w:pPr>
      <w:r w:rsidRPr="00F34767">
        <w:rPr>
          <w:rFonts w:ascii="Garamond" w:hAnsi="Garamond" w:cs="Times New Roman"/>
        </w:rPr>
        <w:t>Modernism was a literary movement wherein authors veered away from traditional ways of structuring writing</w:t>
      </w:r>
    </w:p>
    <w:p w14:paraId="0A817172" w14:textId="77777777" w:rsidR="00581901" w:rsidRPr="00F34767" w:rsidRDefault="00581901" w:rsidP="00F34767">
      <w:pPr>
        <w:pStyle w:val="ListParagraph"/>
        <w:numPr>
          <w:ilvl w:val="0"/>
          <w:numId w:val="3"/>
        </w:numPr>
        <w:spacing w:line="360" w:lineRule="auto"/>
        <w:rPr>
          <w:rFonts w:ascii="Garamond" w:hAnsi="Garamond" w:cs="Times New Roman"/>
        </w:rPr>
      </w:pPr>
      <w:r w:rsidRPr="00F34767">
        <w:rPr>
          <w:rFonts w:ascii="Garamond" w:hAnsi="Garamond" w:cs="Times New Roman"/>
        </w:rPr>
        <w:t>Well-known author within her lifetime, for such works as:</w:t>
      </w:r>
    </w:p>
    <w:p w14:paraId="22E9E04F" w14:textId="77777777" w:rsidR="00581901" w:rsidRPr="00F34767" w:rsidRDefault="00581901" w:rsidP="00F34767">
      <w:pPr>
        <w:pStyle w:val="ListParagraph"/>
        <w:numPr>
          <w:ilvl w:val="1"/>
          <w:numId w:val="3"/>
        </w:numPr>
        <w:spacing w:line="360" w:lineRule="auto"/>
        <w:rPr>
          <w:rFonts w:ascii="Garamond" w:hAnsi="Garamond" w:cs="Times New Roman"/>
        </w:rPr>
      </w:pPr>
      <w:r w:rsidRPr="00F34767">
        <w:rPr>
          <w:rFonts w:ascii="Garamond" w:hAnsi="Garamond" w:cs="Times New Roman"/>
          <w:i/>
        </w:rPr>
        <w:t>Mrs. Dalloway</w:t>
      </w:r>
      <w:r w:rsidRPr="00F34767">
        <w:rPr>
          <w:rFonts w:ascii="Garamond" w:hAnsi="Garamond" w:cs="Times New Roman"/>
        </w:rPr>
        <w:t xml:space="preserve"> (1925), which is a work of fiction</w:t>
      </w:r>
    </w:p>
    <w:p w14:paraId="014EEB87" w14:textId="77777777" w:rsidR="00581901" w:rsidRPr="00F34767" w:rsidRDefault="00581901" w:rsidP="00F34767">
      <w:pPr>
        <w:pStyle w:val="ListParagraph"/>
        <w:numPr>
          <w:ilvl w:val="1"/>
          <w:numId w:val="3"/>
        </w:numPr>
        <w:spacing w:line="360" w:lineRule="auto"/>
        <w:rPr>
          <w:rFonts w:ascii="Garamond" w:hAnsi="Garamond" w:cs="Times New Roman"/>
        </w:rPr>
      </w:pPr>
      <w:r w:rsidRPr="00F34767">
        <w:rPr>
          <w:rFonts w:ascii="Garamond" w:hAnsi="Garamond" w:cs="Times New Roman"/>
          <w:i/>
        </w:rPr>
        <w:t>A Room of One’s Own</w:t>
      </w:r>
      <w:r w:rsidRPr="00F34767">
        <w:rPr>
          <w:rFonts w:ascii="Garamond" w:hAnsi="Garamond" w:cs="Times New Roman"/>
        </w:rPr>
        <w:t xml:space="preserve"> (1929) which is a work of nonfiction</w:t>
      </w:r>
    </w:p>
    <w:p w14:paraId="4BAE4FB1" w14:textId="77777777" w:rsidR="00581901" w:rsidRPr="00F34767" w:rsidRDefault="00581901" w:rsidP="00F34767">
      <w:pPr>
        <w:pStyle w:val="ListParagraph"/>
        <w:numPr>
          <w:ilvl w:val="0"/>
          <w:numId w:val="3"/>
        </w:numPr>
        <w:spacing w:line="360" w:lineRule="auto"/>
        <w:rPr>
          <w:rFonts w:ascii="Garamond" w:hAnsi="Garamond" w:cs="Times New Roman"/>
        </w:rPr>
      </w:pPr>
      <w:r w:rsidRPr="00F34767">
        <w:rPr>
          <w:rFonts w:ascii="Garamond" w:hAnsi="Garamond" w:cs="Times New Roman"/>
        </w:rPr>
        <w:t>Suffered from bouts of severe mental illness throughout her lifetime</w:t>
      </w:r>
    </w:p>
    <w:p w14:paraId="7934153C" w14:textId="77777777" w:rsidR="00581901" w:rsidRPr="00F34767" w:rsidRDefault="00581901" w:rsidP="00F34767">
      <w:pPr>
        <w:pStyle w:val="ListParagraph"/>
        <w:numPr>
          <w:ilvl w:val="1"/>
          <w:numId w:val="3"/>
        </w:numPr>
        <w:spacing w:line="360" w:lineRule="auto"/>
        <w:rPr>
          <w:rFonts w:ascii="Garamond" w:hAnsi="Garamond" w:cs="Times New Roman"/>
        </w:rPr>
      </w:pPr>
      <w:r w:rsidRPr="00F34767">
        <w:rPr>
          <w:rFonts w:ascii="Garamond" w:hAnsi="Garamond" w:cs="Times New Roman"/>
        </w:rPr>
        <w:t>Was institutionalized for a period after the death of her father</w:t>
      </w:r>
    </w:p>
    <w:p w14:paraId="5E1FA597" w14:textId="77777777" w:rsidR="00581901" w:rsidRPr="00F34767" w:rsidRDefault="00581901" w:rsidP="00F34767">
      <w:pPr>
        <w:pStyle w:val="ListParagraph"/>
        <w:numPr>
          <w:ilvl w:val="1"/>
          <w:numId w:val="3"/>
        </w:numPr>
        <w:spacing w:line="360" w:lineRule="auto"/>
        <w:rPr>
          <w:rFonts w:ascii="Garamond" w:hAnsi="Garamond" w:cs="Times New Roman"/>
        </w:rPr>
      </w:pPr>
      <w:r w:rsidRPr="00F34767">
        <w:rPr>
          <w:rFonts w:ascii="Garamond" w:hAnsi="Garamond" w:cs="Times New Roman"/>
        </w:rPr>
        <w:t>Became obsessed with death after WWII, which is known from her journals</w:t>
      </w:r>
    </w:p>
    <w:p w14:paraId="7F20895D" w14:textId="764DE690" w:rsidR="00581901" w:rsidRPr="00F34767" w:rsidRDefault="00581901" w:rsidP="00F34767">
      <w:pPr>
        <w:pStyle w:val="ListParagraph"/>
        <w:numPr>
          <w:ilvl w:val="1"/>
          <w:numId w:val="3"/>
        </w:numPr>
        <w:spacing w:line="360" w:lineRule="auto"/>
        <w:rPr>
          <w:rFonts w:ascii="Garamond" w:hAnsi="Garamond" w:cs="Times New Roman"/>
        </w:rPr>
      </w:pPr>
      <w:r w:rsidRPr="00F34767">
        <w:rPr>
          <w:rFonts w:ascii="Garamond" w:hAnsi="Garamond" w:cs="Times New Roman"/>
        </w:rPr>
        <w:t xml:space="preserve">Committed suicide at the age of 59 in 1941 by filling her </w:t>
      </w:r>
      <w:r w:rsidR="00B32D21" w:rsidRPr="00F34767">
        <w:rPr>
          <w:rFonts w:ascii="Garamond" w:hAnsi="Garamond" w:cs="Times New Roman"/>
        </w:rPr>
        <w:t>overcoat</w:t>
      </w:r>
      <w:r w:rsidRPr="00F34767">
        <w:rPr>
          <w:rFonts w:ascii="Garamond" w:hAnsi="Garamond" w:cs="Times New Roman"/>
        </w:rPr>
        <w:t xml:space="preserve"> pockets with stones and walking into a river near her home </w:t>
      </w:r>
    </w:p>
    <w:p w14:paraId="1E42AA20" w14:textId="77777777" w:rsidR="00581901" w:rsidRPr="00F34767" w:rsidRDefault="00581901" w:rsidP="00F34767">
      <w:pPr>
        <w:pStyle w:val="ListParagraph"/>
        <w:numPr>
          <w:ilvl w:val="0"/>
          <w:numId w:val="2"/>
        </w:numPr>
        <w:spacing w:line="360" w:lineRule="auto"/>
        <w:rPr>
          <w:rFonts w:ascii="Garamond" w:hAnsi="Garamond" w:cs="Times New Roman"/>
        </w:rPr>
      </w:pPr>
      <w:r w:rsidRPr="00F34767">
        <w:rPr>
          <w:rFonts w:ascii="Garamond" w:hAnsi="Garamond" w:cs="Times New Roman"/>
        </w:rPr>
        <w:t xml:space="preserve">“The Death of the Moth” was published </w:t>
      </w:r>
      <w:proofErr w:type="spellStart"/>
      <w:r w:rsidRPr="00F34767">
        <w:rPr>
          <w:rFonts w:ascii="Garamond" w:hAnsi="Garamond" w:cs="Times New Roman"/>
        </w:rPr>
        <w:t>postmortemly</w:t>
      </w:r>
      <w:proofErr w:type="spellEnd"/>
      <w:r w:rsidRPr="00F34767">
        <w:rPr>
          <w:rFonts w:ascii="Garamond" w:hAnsi="Garamond" w:cs="Times New Roman"/>
        </w:rPr>
        <w:t xml:space="preserve"> in a collection called </w:t>
      </w:r>
      <w:r w:rsidRPr="00F34767">
        <w:rPr>
          <w:rFonts w:ascii="Garamond" w:hAnsi="Garamond" w:cs="Times New Roman"/>
          <w:i/>
        </w:rPr>
        <w:t>The Death of the Moth and Other Stories</w:t>
      </w:r>
      <w:r w:rsidRPr="00F34767">
        <w:rPr>
          <w:rFonts w:ascii="Garamond" w:hAnsi="Garamond" w:cs="Times New Roman"/>
        </w:rPr>
        <w:t xml:space="preserve">, for which her husband wrote a foreword. </w:t>
      </w:r>
    </w:p>
    <w:p w14:paraId="7E85527B" w14:textId="77777777" w:rsidR="00581901" w:rsidRPr="00F34767" w:rsidRDefault="000A7CED" w:rsidP="00F34767">
      <w:pPr>
        <w:pStyle w:val="ListParagraph"/>
        <w:numPr>
          <w:ilvl w:val="0"/>
          <w:numId w:val="2"/>
        </w:numPr>
        <w:spacing w:line="360" w:lineRule="auto"/>
        <w:rPr>
          <w:rFonts w:ascii="Garamond" w:hAnsi="Garamond" w:cs="Times New Roman"/>
        </w:rPr>
      </w:pPr>
      <w:r w:rsidRPr="00F34767">
        <w:rPr>
          <w:rFonts w:ascii="Garamond" w:hAnsi="Garamond" w:cs="Times New Roman"/>
        </w:rPr>
        <w:t xml:space="preserve">Speculation: </w:t>
      </w:r>
      <w:r w:rsidR="00581901" w:rsidRPr="00F34767">
        <w:rPr>
          <w:rFonts w:ascii="Garamond" w:hAnsi="Garamond" w:cs="Times New Roman"/>
        </w:rPr>
        <w:t>Woolf often wrote with the audience of her friends in mind, a group of other artists now known as the Bloomsbury Group. The audience of the original publication (</w:t>
      </w:r>
      <w:r w:rsidR="00581901" w:rsidRPr="00F34767">
        <w:rPr>
          <w:rFonts w:ascii="Garamond" w:hAnsi="Garamond" w:cs="Times New Roman"/>
          <w:i/>
        </w:rPr>
        <w:t>The Death of the Moth and Other Stories</w:t>
      </w:r>
      <w:r w:rsidR="00581901" w:rsidRPr="00F34767">
        <w:rPr>
          <w:rFonts w:ascii="Garamond" w:hAnsi="Garamond" w:cs="Times New Roman"/>
        </w:rPr>
        <w:t xml:space="preserve">) was most likely established fans of Woolf, as they would have been enthused to receive more of her work after learning of her death. </w:t>
      </w:r>
    </w:p>
    <w:p w14:paraId="5BBA361D" w14:textId="77777777" w:rsidR="000A7CED" w:rsidRPr="00F34767" w:rsidRDefault="000A7CED" w:rsidP="00F34767">
      <w:pPr>
        <w:pStyle w:val="ListParagraph"/>
        <w:numPr>
          <w:ilvl w:val="0"/>
          <w:numId w:val="5"/>
        </w:numPr>
        <w:spacing w:line="360" w:lineRule="auto"/>
        <w:rPr>
          <w:rFonts w:ascii="Garamond" w:hAnsi="Garamond" w:cs="Times New Roman"/>
        </w:rPr>
      </w:pPr>
      <w:r w:rsidRPr="00F34767">
        <w:rPr>
          <w:rFonts w:ascii="Garamond" w:hAnsi="Garamond" w:cs="Times New Roman"/>
        </w:rPr>
        <w:t xml:space="preserve">The Bloomsbury Group were an establish bunch of writers and other artists operating in and around Bloomsbury, London. According to the </w:t>
      </w:r>
      <w:r w:rsidRPr="00F34767">
        <w:rPr>
          <w:rFonts w:ascii="Garamond" w:hAnsi="Garamond" w:cs="Times New Roman"/>
          <w:i/>
        </w:rPr>
        <w:t>Cambridge Guide to Literature</w:t>
      </w:r>
      <w:r w:rsidRPr="00F34767">
        <w:rPr>
          <w:rFonts w:ascii="Garamond" w:hAnsi="Garamond" w:cs="Times New Roman"/>
        </w:rPr>
        <w:t xml:space="preserve">: “although its members denied being a group in any sense, they were united in the abiding belief in the importance of the arts.” Thus, Woolf’s capturing of “The Death of the Moth” in her writing may have been simply to preserve a natural phenomenon that she witnessed and that touched her emotionally by means of the arts and for the sake of art, perhaps simply for the sake of capturing the incidents of those moments. </w:t>
      </w:r>
    </w:p>
    <w:p w14:paraId="11BAD313" w14:textId="04AE59A5" w:rsidR="000A7CED" w:rsidRPr="005B1BC4" w:rsidRDefault="002B6B99" w:rsidP="00F34767">
      <w:pPr>
        <w:pStyle w:val="ListParagraph"/>
        <w:numPr>
          <w:ilvl w:val="0"/>
          <w:numId w:val="2"/>
        </w:numPr>
        <w:spacing w:line="360" w:lineRule="auto"/>
        <w:rPr>
          <w:rFonts w:ascii="Garamond" w:hAnsi="Garamond" w:cs="Times New Roman"/>
        </w:rPr>
      </w:pPr>
      <w:r w:rsidRPr="005B1BC4">
        <w:rPr>
          <w:rFonts w:ascii="Garamond" w:hAnsi="Garamond" w:cs="Times New Roman"/>
        </w:rPr>
        <w:lastRenderedPageBreak/>
        <w:t>Woolf with a pencil on a “</w:t>
      </w:r>
      <w:r w:rsidR="00B04680" w:rsidRPr="005B1BC4">
        <w:rPr>
          <w:rFonts w:ascii="Garamond" w:hAnsi="Garamond" w:cs="Times New Roman"/>
        </w:rPr>
        <w:t>pleasant morning,</w:t>
      </w:r>
      <w:r w:rsidRPr="005B1BC4">
        <w:rPr>
          <w:rFonts w:ascii="Garamond" w:hAnsi="Garamond" w:cs="Times New Roman"/>
        </w:rPr>
        <w:t xml:space="preserve"> mid-September</w:t>
      </w:r>
      <w:r w:rsidR="00B04680" w:rsidRPr="005B1BC4">
        <w:rPr>
          <w:rFonts w:ascii="Garamond" w:hAnsi="Garamond" w:cs="Times New Roman"/>
        </w:rPr>
        <w:t xml:space="preserve">,” when she notices a moth (79). She contemplates the moth as it flutters around the windowpane eventually to lay and die, at which point </w:t>
      </w:r>
      <w:r w:rsidR="00801192">
        <w:rPr>
          <w:rFonts w:ascii="Garamond" w:hAnsi="Garamond" w:cs="Times New Roman"/>
        </w:rPr>
        <w:t>she</w:t>
      </w:r>
      <w:r w:rsidR="00B04680" w:rsidRPr="005B1BC4">
        <w:rPr>
          <w:rFonts w:ascii="Garamond" w:hAnsi="Garamond" w:cs="Times New Roman"/>
        </w:rPr>
        <w:t xml:space="preserve"> considers</w:t>
      </w:r>
      <w:r w:rsidR="00801192">
        <w:rPr>
          <w:rFonts w:ascii="Garamond" w:hAnsi="Garamond" w:cs="Times New Roman"/>
        </w:rPr>
        <w:t>, but ultimately decides against, “help[</w:t>
      </w:r>
      <w:proofErr w:type="spellStart"/>
      <w:r w:rsidR="00801192">
        <w:rPr>
          <w:rFonts w:ascii="Garamond" w:hAnsi="Garamond" w:cs="Times New Roman"/>
        </w:rPr>
        <w:t>ing</w:t>
      </w:r>
      <w:proofErr w:type="spellEnd"/>
      <w:r w:rsidR="00801192">
        <w:rPr>
          <w:rFonts w:ascii="Garamond" w:hAnsi="Garamond" w:cs="Times New Roman"/>
        </w:rPr>
        <w:t>] him right himself” with her pencil.</w:t>
      </w:r>
      <w:r w:rsidR="00B04680" w:rsidRPr="005B1BC4">
        <w:rPr>
          <w:rFonts w:ascii="Garamond" w:hAnsi="Garamond" w:cs="Times New Roman"/>
        </w:rPr>
        <w:t xml:space="preserve"> </w:t>
      </w:r>
      <w:r w:rsidR="00801192">
        <w:rPr>
          <w:rFonts w:ascii="Garamond" w:hAnsi="Garamond" w:cs="Times New Roman"/>
        </w:rPr>
        <w:t xml:space="preserve">Woolf reflects upon </w:t>
      </w:r>
      <w:r w:rsidR="00B04680" w:rsidRPr="005B1BC4">
        <w:rPr>
          <w:rFonts w:ascii="Garamond" w:hAnsi="Garamond" w:cs="Times New Roman"/>
        </w:rPr>
        <w:t xml:space="preserve">the moth’s short life and subsequent death, and </w:t>
      </w:r>
      <w:r w:rsidR="006E6354">
        <w:rPr>
          <w:rFonts w:ascii="Garamond" w:hAnsi="Garamond" w:cs="Times New Roman"/>
        </w:rPr>
        <w:t>life and death on a grander scale beyond</w:t>
      </w:r>
      <w:r w:rsidR="00B04680" w:rsidRPr="005B1BC4">
        <w:rPr>
          <w:rFonts w:ascii="Garamond" w:hAnsi="Garamond" w:cs="Times New Roman"/>
        </w:rPr>
        <w:t xml:space="preserve"> </w:t>
      </w:r>
      <w:r w:rsidR="006E6354">
        <w:rPr>
          <w:rFonts w:ascii="Garamond" w:hAnsi="Garamond" w:cs="Times New Roman"/>
        </w:rPr>
        <w:t xml:space="preserve">moth itself. </w:t>
      </w:r>
      <w:bookmarkStart w:id="0" w:name="_GoBack"/>
      <w:bookmarkEnd w:id="0"/>
    </w:p>
    <w:p w14:paraId="5BECA003" w14:textId="671ED3F3" w:rsidR="00B04680" w:rsidRPr="00F34767" w:rsidRDefault="00B04680" w:rsidP="00F34767">
      <w:pPr>
        <w:pStyle w:val="ListParagraph"/>
        <w:numPr>
          <w:ilvl w:val="0"/>
          <w:numId w:val="2"/>
        </w:numPr>
        <w:spacing w:line="360" w:lineRule="auto"/>
        <w:rPr>
          <w:rFonts w:ascii="Garamond" w:hAnsi="Garamond" w:cs="Times New Roman"/>
        </w:rPr>
      </w:pPr>
      <w:r w:rsidRPr="00F34767">
        <w:rPr>
          <w:rFonts w:ascii="Garamond" w:hAnsi="Garamond" w:cs="Times New Roman"/>
        </w:rPr>
        <w:t xml:space="preserve">An example of an argument in this text, though </w:t>
      </w:r>
      <w:r w:rsidRPr="00F34767">
        <w:rPr>
          <w:rFonts w:ascii="Garamond" w:hAnsi="Garamond" w:cs="Times New Roman"/>
          <w:i/>
        </w:rPr>
        <w:t>not</w:t>
      </w:r>
      <w:r w:rsidRPr="00F34767">
        <w:rPr>
          <w:rFonts w:ascii="Garamond" w:hAnsi="Garamond" w:cs="Times New Roman"/>
        </w:rPr>
        <w:t xml:space="preserve"> a definitive answer to the question, as there are many arguments to be picked out even in a text as short as this: Woolf contemplates using her pencil to intercede in the moth’s struggle but ultimately decides against any action. This could represent an argument for letting nature (and death) run its course. (Though, it should be noted, “nature” in this instance is trapped inside a human-made structure and as such the moth’s death cannot be considered solely natural. Humans have interceded already with the presence of this structure, trapping the moth, despite that Woolf decides not to take any action with her pencil.)</w:t>
      </w:r>
    </w:p>
    <w:p w14:paraId="701E4813" w14:textId="77777777" w:rsidR="00B04680" w:rsidRPr="00F34767" w:rsidRDefault="00B04680" w:rsidP="00F34767">
      <w:pPr>
        <w:pStyle w:val="ListParagraph"/>
        <w:numPr>
          <w:ilvl w:val="0"/>
          <w:numId w:val="2"/>
        </w:numPr>
        <w:spacing w:line="360" w:lineRule="auto"/>
        <w:rPr>
          <w:rFonts w:ascii="Garamond" w:hAnsi="Garamond" w:cs="Times New Roman"/>
        </w:rPr>
      </w:pPr>
      <w:r w:rsidRPr="00F34767">
        <w:rPr>
          <w:rFonts w:ascii="Garamond" w:hAnsi="Garamond" w:cs="Times New Roman"/>
        </w:rPr>
        <w:t>Discussion questions:</w:t>
      </w:r>
    </w:p>
    <w:p w14:paraId="24B610A9" w14:textId="54BFF81D" w:rsidR="00B04680" w:rsidRPr="00F34767" w:rsidRDefault="00B04680" w:rsidP="00F34767">
      <w:pPr>
        <w:pStyle w:val="ListParagraph"/>
        <w:numPr>
          <w:ilvl w:val="0"/>
          <w:numId w:val="5"/>
        </w:numPr>
        <w:spacing w:line="360" w:lineRule="auto"/>
        <w:rPr>
          <w:rFonts w:ascii="Garamond" w:hAnsi="Garamond" w:cs="Times New Roman"/>
        </w:rPr>
      </w:pPr>
      <w:r w:rsidRPr="00F34767">
        <w:rPr>
          <w:rFonts w:ascii="Garamond" w:hAnsi="Garamond" w:cs="Times New Roman"/>
        </w:rPr>
        <w:t>Content: Does Woolf place value (does she either value or devalue) upon the moth’s life/death?</w:t>
      </w:r>
    </w:p>
    <w:p w14:paraId="4A7B25A6" w14:textId="77D3E5F7" w:rsidR="00B04680" w:rsidRPr="00F34767" w:rsidRDefault="00B04680" w:rsidP="00F34767">
      <w:pPr>
        <w:pStyle w:val="ListParagraph"/>
        <w:numPr>
          <w:ilvl w:val="0"/>
          <w:numId w:val="5"/>
        </w:numPr>
        <w:spacing w:line="360" w:lineRule="auto"/>
        <w:rPr>
          <w:rFonts w:ascii="Garamond" w:hAnsi="Garamond" w:cs="Times New Roman"/>
        </w:rPr>
      </w:pPr>
      <w:r w:rsidRPr="00F34767">
        <w:rPr>
          <w:rFonts w:ascii="Garamond" w:hAnsi="Garamond" w:cs="Times New Roman"/>
        </w:rPr>
        <w:t xml:space="preserve">Style: How does Woolf’s stream-of-consciousness style of writing further or hinder any discernable argument within this piece? </w:t>
      </w:r>
    </w:p>
    <w:sectPr w:rsidR="00B04680" w:rsidRPr="00F34767" w:rsidSect="00F34767">
      <w:footerReference w:type="even" r:id="rId7"/>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1FE9" w14:textId="77777777" w:rsidR="00A02903" w:rsidRDefault="00A02903" w:rsidP="00841501">
      <w:r>
        <w:separator/>
      </w:r>
    </w:p>
  </w:endnote>
  <w:endnote w:type="continuationSeparator" w:id="0">
    <w:p w14:paraId="78FD82BB" w14:textId="77777777" w:rsidR="00A02903" w:rsidRDefault="00A02903" w:rsidP="0084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3EDC" w14:textId="77777777" w:rsidR="00841501" w:rsidRDefault="00841501" w:rsidP="003828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B0C8D" w14:textId="77777777" w:rsidR="00841501" w:rsidRDefault="00841501" w:rsidP="008415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3D6C" w14:textId="77777777" w:rsidR="00841501" w:rsidRDefault="00841501" w:rsidP="003828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2B34">
      <w:rPr>
        <w:rStyle w:val="PageNumber"/>
        <w:noProof/>
      </w:rPr>
      <w:t>1</w:t>
    </w:r>
    <w:r>
      <w:rPr>
        <w:rStyle w:val="PageNumber"/>
      </w:rPr>
      <w:fldChar w:fldCharType="end"/>
    </w:r>
  </w:p>
  <w:p w14:paraId="116D1DC1" w14:textId="77777777" w:rsidR="00841501" w:rsidRDefault="00841501" w:rsidP="008415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6DF93" w14:textId="77777777" w:rsidR="00A02903" w:rsidRDefault="00A02903" w:rsidP="00841501">
      <w:r>
        <w:separator/>
      </w:r>
    </w:p>
  </w:footnote>
  <w:footnote w:type="continuationSeparator" w:id="0">
    <w:p w14:paraId="370503CC" w14:textId="77777777" w:rsidR="00A02903" w:rsidRDefault="00A02903" w:rsidP="0084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097"/>
    <w:multiLevelType w:val="hybridMultilevel"/>
    <w:tmpl w:val="0E6A7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3F86"/>
    <w:multiLevelType w:val="hybridMultilevel"/>
    <w:tmpl w:val="8B5A7E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1113D1"/>
    <w:multiLevelType w:val="hybridMultilevel"/>
    <w:tmpl w:val="2F6A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32643"/>
    <w:multiLevelType w:val="hybridMultilevel"/>
    <w:tmpl w:val="426EE99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25488D"/>
    <w:multiLevelType w:val="hybridMultilevel"/>
    <w:tmpl w:val="425874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01"/>
    <w:rsid w:val="000A7CED"/>
    <w:rsid w:val="002B6B99"/>
    <w:rsid w:val="003204F4"/>
    <w:rsid w:val="00374121"/>
    <w:rsid w:val="004B5C60"/>
    <w:rsid w:val="00524EBA"/>
    <w:rsid w:val="00581901"/>
    <w:rsid w:val="005B1BC4"/>
    <w:rsid w:val="006E6354"/>
    <w:rsid w:val="007D3153"/>
    <w:rsid w:val="00801192"/>
    <w:rsid w:val="00805366"/>
    <w:rsid w:val="00841501"/>
    <w:rsid w:val="008E04FC"/>
    <w:rsid w:val="008E7988"/>
    <w:rsid w:val="009D3922"/>
    <w:rsid w:val="00A02903"/>
    <w:rsid w:val="00AD2D47"/>
    <w:rsid w:val="00B04680"/>
    <w:rsid w:val="00B32D21"/>
    <w:rsid w:val="00C82B34"/>
    <w:rsid w:val="00CB4D41"/>
    <w:rsid w:val="00DD30A6"/>
    <w:rsid w:val="00ED0D93"/>
    <w:rsid w:val="00F34767"/>
    <w:rsid w:val="00FE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25B8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901"/>
    <w:pPr>
      <w:ind w:left="720"/>
      <w:contextualSpacing/>
    </w:pPr>
  </w:style>
  <w:style w:type="paragraph" w:styleId="Footer">
    <w:name w:val="footer"/>
    <w:basedOn w:val="Normal"/>
    <w:link w:val="FooterChar"/>
    <w:uiPriority w:val="99"/>
    <w:unhideWhenUsed/>
    <w:rsid w:val="00841501"/>
    <w:pPr>
      <w:tabs>
        <w:tab w:val="center" w:pos="4680"/>
        <w:tab w:val="right" w:pos="9360"/>
      </w:tabs>
    </w:pPr>
  </w:style>
  <w:style w:type="character" w:customStyle="1" w:styleId="FooterChar">
    <w:name w:val="Footer Char"/>
    <w:basedOn w:val="DefaultParagraphFont"/>
    <w:link w:val="Footer"/>
    <w:uiPriority w:val="99"/>
    <w:rsid w:val="00841501"/>
  </w:style>
  <w:style w:type="character" w:styleId="PageNumber">
    <w:name w:val="page number"/>
    <w:basedOn w:val="DefaultParagraphFont"/>
    <w:uiPriority w:val="99"/>
    <w:semiHidden/>
    <w:unhideWhenUsed/>
    <w:rsid w:val="00841501"/>
  </w:style>
  <w:style w:type="paragraph" w:styleId="Header">
    <w:name w:val="header"/>
    <w:basedOn w:val="Normal"/>
    <w:link w:val="HeaderChar"/>
    <w:uiPriority w:val="99"/>
    <w:unhideWhenUsed/>
    <w:rsid w:val="008E7988"/>
    <w:pPr>
      <w:tabs>
        <w:tab w:val="center" w:pos="4680"/>
        <w:tab w:val="right" w:pos="9360"/>
      </w:tabs>
    </w:pPr>
  </w:style>
  <w:style w:type="character" w:customStyle="1" w:styleId="HeaderChar">
    <w:name w:val="Header Char"/>
    <w:basedOn w:val="DefaultParagraphFont"/>
    <w:link w:val="Header"/>
    <w:uiPriority w:val="99"/>
    <w:rsid w:val="008E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352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Stringfield</dc:creator>
  <cp:keywords/>
  <dc:description/>
  <cp:lastModifiedBy>Stringfield, Shelby R [ENGL]</cp:lastModifiedBy>
  <cp:revision>16</cp:revision>
  <dcterms:created xsi:type="dcterms:W3CDTF">2017-08-24T20:42:00Z</dcterms:created>
  <dcterms:modified xsi:type="dcterms:W3CDTF">2018-08-22T03:31:00Z</dcterms:modified>
</cp:coreProperties>
</file>